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EB" w:rsidRPr="00C863D8" w:rsidRDefault="00103AEB" w:rsidP="00CF37C0">
      <w:pPr>
        <w:adjustRightInd w:val="0"/>
        <w:snapToGrid w:val="0"/>
        <w:spacing w:beforeLines="50" w:line="288" w:lineRule="auto"/>
        <w:jc w:val="center"/>
        <w:rPr>
          <w:rFonts w:ascii="宋体"/>
          <w:b/>
          <w:sz w:val="32"/>
          <w:szCs w:val="32"/>
        </w:rPr>
      </w:pPr>
      <w:r>
        <w:rPr>
          <w:rFonts w:ascii="宋体" w:hAnsi="宋体" w:hint="eastAsia"/>
          <w:b/>
          <w:sz w:val="32"/>
          <w:szCs w:val="32"/>
        </w:rPr>
        <w:t>莆田第一中学</w:t>
      </w:r>
      <w:r w:rsidRPr="00C863D8">
        <w:rPr>
          <w:rFonts w:ascii="宋体" w:hAnsi="宋体" w:hint="eastAsia"/>
          <w:b/>
          <w:sz w:val="32"/>
          <w:szCs w:val="32"/>
        </w:rPr>
        <w:t>开设选修课指导原则</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103AEB" w:rsidRDefault="00103AEB" w:rsidP="00CF37C0">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《全日制普通高级中学课程计划（试验修订稿）》（以下简称《计划》）构建了“必修</w:t>
      </w:r>
      <w:r>
        <w:rPr>
          <w:rFonts w:ascii="仿宋_GB2312" w:eastAsia="仿宋_GB2312"/>
          <w:sz w:val="28"/>
          <w:szCs w:val="28"/>
        </w:rPr>
        <w:t>+</w:t>
      </w:r>
      <w:r>
        <w:rPr>
          <w:rFonts w:ascii="仿宋_GB2312" w:eastAsia="仿宋_GB2312" w:hint="eastAsia"/>
          <w:sz w:val="28"/>
          <w:szCs w:val="28"/>
        </w:rPr>
        <w:t>选修”的课程结构，学科必修课</w:t>
      </w:r>
      <w:r>
        <w:rPr>
          <w:rFonts w:ascii="仿宋_GB2312" w:eastAsia="仿宋_GB2312"/>
          <w:sz w:val="28"/>
          <w:szCs w:val="28"/>
        </w:rPr>
        <w:t>12</w:t>
      </w:r>
      <w:r>
        <w:rPr>
          <w:rFonts w:ascii="仿宋_GB2312" w:eastAsia="仿宋_GB2312" w:hint="eastAsia"/>
          <w:sz w:val="28"/>
          <w:szCs w:val="28"/>
        </w:rPr>
        <w:t>门，占高中三年总教学周的</w:t>
      </w:r>
      <w:r>
        <w:rPr>
          <w:rFonts w:ascii="仿宋_GB2312" w:eastAsia="仿宋_GB2312"/>
          <w:sz w:val="28"/>
          <w:szCs w:val="28"/>
        </w:rPr>
        <w:t>47.9%</w:t>
      </w:r>
      <w:r>
        <w:rPr>
          <w:rFonts w:ascii="仿宋_GB2312" w:eastAsia="仿宋_GB2312" w:hint="eastAsia"/>
          <w:sz w:val="28"/>
          <w:szCs w:val="28"/>
        </w:rPr>
        <w:t>；学科限选课</w:t>
      </w:r>
      <w:r>
        <w:rPr>
          <w:rFonts w:ascii="仿宋_GB2312" w:eastAsia="仿宋_GB2312"/>
          <w:sz w:val="28"/>
          <w:szCs w:val="28"/>
        </w:rPr>
        <w:t>7</w:t>
      </w:r>
      <w:r>
        <w:rPr>
          <w:rFonts w:ascii="仿宋_GB2312" w:eastAsia="仿宋_GB2312" w:hint="eastAsia"/>
          <w:sz w:val="28"/>
          <w:szCs w:val="28"/>
        </w:rPr>
        <w:t>门，占</w:t>
      </w:r>
      <w:r>
        <w:rPr>
          <w:rFonts w:ascii="仿宋_GB2312" w:eastAsia="仿宋_GB2312"/>
          <w:sz w:val="28"/>
          <w:szCs w:val="28"/>
        </w:rPr>
        <w:t>25%</w:t>
      </w:r>
      <w:r>
        <w:rPr>
          <w:rFonts w:ascii="仿宋_GB2312" w:eastAsia="仿宋_GB2312"/>
          <w:sz w:val="28"/>
          <w:szCs w:val="28"/>
        </w:rPr>
        <w:t>—</w:t>
      </w:r>
      <w:r>
        <w:rPr>
          <w:rFonts w:ascii="仿宋_GB2312" w:eastAsia="仿宋_GB2312"/>
          <w:sz w:val="28"/>
          <w:szCs w:val="28"/>
        </w:rPr>
        <w:t>35%</w:t>
      </w:r>
      <w:r>
        <w:rPr>
          <w:rFonts w:ascii="仿宋_GB2312" w:eastAsia="仿宋_GB2312" w:hint="eastAsia"/>
          <w:sz w:val="28"/>
          <w:szCs w:val="28"/>
        </w:rPr>
        <w:t>；地方和学校选修课，综合实践活动课占</w:t>
      </w:r>
      <w:r>
        <w:rPr>
          <w:rFonts w:ascii="仿宋_GB2312" w:eastAsia="仿宋_GB2312"/>
          <w:sz w:val="28"/>
          <w:szCs w:val="28"/>
        </w:rPr>
        <w:t>18%</w:t>
      </w:r>
      <w:r>
        <w:rPr>
          <w:rFonts w:ascii="仿宋_GB2312" w:eastAsia="仿宋_GB2312"/>
          <w:sz w:val="28"/>
          <w:szCs w:val="28"/>
        </w:rPr>
        <w:t>—</w:t>
      </w:r>
      <w:r>
        <w:rPr>
          <w:rFonts w:ascii="仿宋_GB2312" w:eastAsia="仿宋_GB2312"/>
          <w:sz w:val="28"/>
          <w:szCs w:val="28"/>
        </w:rPr>
        <w:t>25%</w:t>
      </w:r>
      <w:r>
        <w:rPr>
          <w:rFonts w:ascii="仿宋_GB2312" w:eastAsia="仿宋_GB2312" w:hint="eastAsia"/>
          <w:sz w:val="28"/>
          <w:szCs w:val="28"/>
        </w:rPr>
        <w:t>。《计划》打破了必修课一统天下，忽视学生个体差异、地域差异、校际差异的局面，给学校的课程建设留下了较大的自由空间，为学生个性特长培养创造了自主选择的学习机会。</w:t>
      </w:r>
    </w:p>
    <w:p w:rsidR="00103AEB" w:rsidRDefault="00103AEB" w:rsidP="0002010F">
      <w:pPr>
        <w:adjustRightInd w:val="0"/>
        <w:snapToGrid w:val="0"/>
        <w:spacing w:beforeLines="50" w:line="288" w:lineRule="auto"/>
        <w:ind w:firstLineChars="225" w:firstLine="31680"/>
        <w:rPr>
          <w:rFonts w:ascii="仿宋_GB2312" w:eastAsia="仿宋_GB2312"/>
          <w:sz w:val="28"/>
          <w:szCs w:val="28"/>
        </w:rPr>
      </w:pPr>
      <w:r>
        <w:rPr>
          <w:rFonts w:ascii="仿宋_GB2312" w:eastAsia="仿宋_GB2312" w:hint="eastAsia"/>
          <w:sz w:val="28"/>
          <w:szCs w:val="28"/>
        </w:rPr>
        <w:t>开好选修课，转变教学观念，树立全面课程意识至关重要。课程不仅仅是学科教学，还要有活动，有社会实践，学习也不只是在课堂上进行。选修课应当具有鲜明的特点，体现自主性、开放性、创造性，组织形式多样化，强调师生在交互过程中，共同建构课程内容，完成学习内容的选择和编排。课程的主要目的不仅仅是理解前人发现的知识，而是让学生进入主动探索知识的过程，在这种过程中，学生的社会实践将摆到突出位置。通过选修课的开设，力争突破原有的以单科性、学术性为主的课程框架，开发具有综合性、社会性、实践性特点的新型课程，改变以往偏重知识传授、重技能训练的教学方式，充分发挥学生的主动性和创造性，形成研究、讨论、观察的学习方式和教学氛围。</w:t>
      </w:r>
      <w:r>
        <w:rPr>
          <w:rFonts w:ascii="仿宋_GB2312" w:eastAsia="仿宋_GB2312"/>
          <w:sz w:val="28"/>
          <w:szCs w:val="28"/>
        </w:rPr>
        <w:br/>
        <w:t xml:space="preserve">  </w:t>
      </w:r>
      <w:r>
        <w:rPr>
          <w:rFonts w:ascii="仿宋_GB2312" w:eastAsia="仿宋_GB2312" w:hint="eastAsia"/>
          <w:sz w:val="28"/>
          <w:szCs w:val="28"/>
        </w:rPr>
        <w:t>课程的丰富与繁荣，是学校提高学生全面素质的根本保证，为此，选修课的开设应当有相当的覆盖面。选修课的开设，对教师的素质提出了更高的要求，教师是课程开发的一支重要力量，教师既是课程的实施者、组织者，也是课程的开发者、建设者。应当充分挖掘学校的课程资源，调动广大教师开发课程的积极性，使课程丰富而具有多样性，保证学生在选择上有更大的自由度，满足学生多方面发展的需要</w:t>
      </w:r>
    </w:p>
    <w:p w:rsidR="00103AEB" w:rsidRDefault="00103AEB" w:rsidP="00CF37C0">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一、根据学校特点，开发选修课</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我校教学力量雄厚，教师的知识面广，开设各种选修课的历史长，因此我们开发选修课题，注意充分挖掘校内的教育资源，关注当地的发展现状、学生的发展需要、社会的发展要求，确立了三个基点：</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一是凸现原有的心理教育、英语教育、艺体教育特色；二是科技与人文并重；三是学科必修课、综合实践活动课、选修课的合理整合。综合学校发展状况、学生发展需要、学生兴趣爱好、教师的“资质”条件等因素，确定了</w:t>
      </w:r>
      <w:r>
        <w:rPr>
          <w:rFonts w:ascii="仿宋_GB2312" w:eastAsia="仿宋_GB2312"/>
          <w:sz w:val="28"/>
          <w:szCs w:val="28"/>
        </w:rPr>
        <w:t>100</w:t>
      </w:r>
      <w:r>
        <w:rPr>
          <w:rFonts w:ascii="仿宋_GB2312" w:eastAsia="仿宋_GB2312" w:hint="eastAsia"/>
          <w:sz w:val="28"/>
          <w:szCs w:val="28"/>
        </w:rPr>
        <w:t>余门选修课，涵盖其中技术领域、艺体领域、自然科学领域和社会科学领域。这些选修课的课题主要有三类：单一学科延伸加深的学科拓展型，多门学科联合开发的学科综合型，根据学生的兴趣爱好、个性发展要而设置的单元主题型。</w:t>
      </w:r>
    </w:p>
    <w:p w:rsidR="00103AEB" w:rsidRDefault="00103AEB" w:rsidP="00CF37C0">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选修内容的开发采用了多种模式：一是综合多种资料，教师自主开发；二是利用当地资源编写开发；三是请市内的专家学者讲学。选修内容按照一定的体例形成讲义，计划</w:t>
      </w:r>
      <w:r>
        <w:rPr>
          <w:rFonts w:ascii="仿宋_GB2312" w:eastAsia="仿宋_GB2312"/>
          <w:sz w:val="28"/>
          <w:szCs w:val="28"/>
        </w:rPr>
        <w:t>3</w:t>
      </w:r>
      <w:r>
        <w:rPr>
          <w:rFonts w:ascii="仿宋_GB2312" w:eastAsia="仿宋_GB2312" w:hint="eastAsia"/>
          <w:sz w:val="28"/>
          <w:szCs w:val="28"/>
        </w:rPr>
        <w:t>年内完成校本教材的编写。</w:t>
      </w:r>
    </w:p>
    <w:p w:rsidR="00103AEB" w:rsidRDefault="00103AEB" w:rsidP="00CF37C0">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二、按《计划》的要求，实施选修课教学</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新的高中教学计划，将课程结构创造性地构建为“必修</w:t>
      </w:r>
      <w:r>
        <w:rPr>
          <w:rFonts w:ascii="仿宋_GB2312" w:eastAsia="仿宋_GB2312"/>
          <w:sz w:val="28"/>
          <w:szCs w:val="28"/>
        </w:rPr>
        <w:t>+</w:t>
      </w:r>
      <w:r>
        <w:rPr>
          <w:rFonts w:ascii="仿宋_GB2312" w:eastAsia="仿宋_GB2312" w:hint="eastAsia"/>
          <w:sz w:val="28"/>
          <w:szCs w:val="28"/>
        </w:rPr>
        <w:t>选修”，而且赋予了最现代的内涵。课程类别的变化，必然引起教师角色的变化，教师不只是知识的传授与管理者，而是学生发展的促进者和引导者，</w:t>
      </w:r>
      <w:r>
        <w:rPr>
          <w:rFonts w:ascii="仿宋_GB2312" w:eastAsia="仿宋_GB2312"/>
          <w:sz w:val="28"/>
          <w:szCs w:val="28"/>
        </w:rPr>
        <w:t>21</w:t>
      </w:r>
      <w:r>
        <w:rPr>
          <w:rFonts w:ascii="仿宋_GB2312" w:eastAsia="仿宋_GB2312" w:hint="eastAsia"/>
          <w:sz w:val="28"/>
          <w:szCs w:val="28"/>
        </w:rPr>
        <w:t>世纪的教师在劳动过程中不仅仅是红烛、春蚕、园丁，不仅仅是付出与贡献；而是将与学生共同成长和发展，共同体验成功的喜悦和实现自身的生命价值。因而，在崭新的选修课的教学中树立大课堂的观念，明确与学生平等的教师角色，确定发展学生个性特长的教学目标。在教学中，引入研究性学习思想，以主体性、活动性、创新性、民主性统揽。根据具体内容及教师角色的不同，我们构建了四种教学组织形式：技能训练式、专题讲座式、师生互动式、自主探究式。选修课指导教师在此基础上，又因课题的特殊性及自身的个性而设置了不同的操作模式，如罗登林“《三国演义》研习”选修课的“五层面”操作模式，杨才和“安岳石刻艺术”赏析的“导游模拟”操作模式，冯昌明“天文学常识”的“内容问题化、形式活动化”操作模式。</w:t>
      </w:r>
    </w:p>
    <w:p w:rsidR="00103AEB" w:rsidRDefault="00103AEB" w:rsidP="00CF37C0">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三、按照学校选修课的自身要求，进行实效性管理</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hint="eastAsia"/>
          <w:sz w:val="28"/>
          <w:szCs w:val="28"/>
        </w:rPr>
        <w:t>学校选修课是崭新的工作，从课程意义上讲具有校际差异性、开创探索性、不可替代性的特殊之处，因而，我们在管理上做了以下工作。</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1</w:t>
      </w:r>
      <w:r>
        <w:rPr>
          <w:rFonts w:ascii="仿宋_GB2312" w:eastAsia="仿宋_GB2312" w:hint="eastAsia"/>
          <w:sz w:val="28"/>
          <w:szCs w:val="28"/>
        </w:rPr>
        <w:t>．建立“一个小组，两条线”的管理机制，保证工作畅通。</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由分管教科室的校级领导任选修课领导小组组长，中层主任为成员，校长直接指导、督促小组工作，领导小组负责选修课工作的宏观调控，教师管理线由教科室负责，主要工作是培训、考核、奖惩；学生管理线由年级组负责，主要工作是动员、调适、考核。</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．学生遵照选修原则修习</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学生的个性特长需要，学校的教育资源，学校的发展走向等因素都将制约学生对选修课的选择。为了选修课管理的动态平衡，我们确定了满足个性发展需要和学校资源限制的双向选择原则、分类设置原则，单选与多选结合原则及滚动选修原则。</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．对教师实行激励管理</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教师的选修课工作较必修课具有更大的创造性，因此，对开创性阶段的选修课教师实行了三方面的激励管理，即工作过程报酬较必修课从优，工作理念给予外出考察学习机会，工作成效以学期为单位单独评奖，工作范围打破年级界限，提供发挥才智，实现自我的机会。</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．对学生实行学分制管理</w:t>
      </w:r>
    </w:p>
    <w:p w:rsidR="00103AEB" w:rsidRDefault="00103AEB" w:rsidP="00CF37C0">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以等级制操作，与奖励性结合和体验性挂钩。</w:t>
      </w:r>
    </w:p>
    <w:p w:rsidR="00103AEB" w:rsidRDefault="00103AEB" w:rsidP="00CF37C0">
      <w:pPr>
        <w:adjustRightInd w:val="0"/>
        <w:snapToGrid w:val="0"/>
        <w:spacing w:beforeLines="50" w:line="288" w:lineRule="auto"/>
        <w:ind w:firstLine="420"/>
        <w:rPr>
          <w:rFonts w:ascii="仿宋_GB2312" w:eastAsia="仿宋_GB2312"/>
          <w:b/>
          <w:bCs/>
          <w:sz w:val="28"/>
          <w:szCs w:val="28"/>
        </w:rPr>
      </w:pPr>
      <w:r>
        <w:rPr>
          <w:rFonts w:ascii="仿宋_GB2312" w:eastAsia="仿宋_GB2312" w:hint="eastAsia"/>
          <w:b/>
          <w:bCs/>
          <w:sz w:val="28"/>
          <w:szCs w:val="28"/>
        </w:rPr>
        <w:t>四、学校选修课建设中的几个问题</w:t>
      </w:r>
    </w:p>
    <w:p w:rsidR="00103AEB" w:rsidRDefault="00103AEB" w:rsidP="0002010F">
      <w:pPr>
        <w:adjustRightInd w:val="0"/>
        <w:snapToGrid w:val="0"/>
        <w:spacing w:beforeLines="50" w:line="288" w:lineRule="auto"/>
        <w:ind w:firstLineChars="225" w:firstLine="31680"/>
        <w:rPr>
          <w:rFonts w:ascii="仿宋_GB2312" w:eastAsia="仿宋_GB2312"/>
          <w:sz w:val="28"/>
          <w:szCs w:val="28"/>
        </w:rPr>
      </w:pPr>
      <w:r>
        <w:rPr>
          <w:rFonts w:ascii="仿宋_GB2312" w:eastAsia="仿宋_GB2312"/>
          <w:sz w:val="28"/>
          <w:szCs w:val="28"/>
        </w:rPr>
        <w:t xml:space="preserve">1. </w:t>
      </w:r>
      <w:r>
        <w:rPr>
          <w:rFonts w:ascii="仿宋_GB2312" w:eastAsia="仿宋_GB2312" w:hint="eastAsia"/>
          <w:sz w:val="28"/>
          <w:szCs w:val="28"/>
        </w:rPr>
        <w:t>学校选修课具有“两性”、“两化”的特点</w:t>
      </w:r>
    </w:p>
    <w:p w:rsidR="00103AEB" w:rsidRDefault="00103AEB" w:rsidP="0002010F">
      <w:pPr>
        <w:adjustRightInd w:val="0"/>
        <w:snapToGrid w:val="0"/>
        <w:spacing w:beforeLines="50" w:line="288" w:lineRule="auto"/>
        <w:ind w:firstLineChars="200" w:firstLine="31680"/>
        <w:rPr>
          <w:rFonts w:ascii="仿宋_GB2312" w:eastAsia="仿宋_GB2312"/>
          <w:sz w:val="28"/>
          <w:szCs w:val="28"/>
        </w:rPr>
      </w:pPr>
      <w:r>
        <w:rPr>
          <w:rFonts w:ascii="仿宋_GB2312" w:eastAsia="仿宋_GB2312" w:hint="eastAsia"/>
          <w:sz w:val="28"/>
          <w:szCs w:val="28"/>
        </w:rPr>
        <w:t>《计划》在“课程设置说明”中说“除按照国家规定开设选修课外，地方和学校为满足学生多样发展的需要也应创造条件开设灵活多样的选修课，学生可以根据个人志向、兴趣和需要自主选择修习。”同时也说明，环境教育、人口教育、职业技术类课程等都可纳入选修课中安排，在课程实施中又指出“课程实施要充分发挥和利用教材以外的课程资源。”我们分析研究并在实践中发现，学校选修课具有“两性”、“两化”的特点：延伸性，即选修课是在必修的基础上的延伸、拓宽、加深；开放性，即选修课的内容、方式、时间、空间、师生关系都是开放的；个性化，即选修课的主要目标是满足学生个性特长发展的需要；时代化，即用时代的观念选择时代的内容，符合时代发展</w:t>
      </w:r>
      <w:r>
        <w:rPr>
          <w:rFonts w:ascii="仿宋_GB2312" w:eastAsia="仿宋_GB2312"/>
          <w:sz w:val="28"/>
          <w:szCs w:val="28"/>
        </w:rPr>
        <w:t>.</w:t>
      </w:r>
      <w:r>
        <w:rPr>
          <w:rFonts w:ascii="仿宋_GB2312" w:eastAsia="仿宋_GB2312" w:hint="eastAsia"/>
          <w:sz w:val="28"/>
          <w:szCs w:val="28"/>
        </w:rPr>
        <w:t>。由于选修课这样的特点，学校选修课工作，不能只要形式，必须进行实质性管理，从形似走向神似。</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．学校选修课的定位目标是建设具有学校特色的课程体系</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计划》中留出这样大的空间给学校，就是要让学校教育有自己的个性，有自己的特色，这特色就是从课改中来，一个学校发展的真正的路子是内涵发展之路，因此，实施课程改革的选修课要在建设具有学校特色的课程体系上下功夫，以此促进教师队伍优良化，形成学校的课程文化。</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．教师知识结构是制约教师驾驭学校选修课的瓶颈</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新课程改变了知识的呈现状态，学生获取的知识在三个方面均衡分布：教材、教参提供的，教师个人的，师生互动产生的。学校选修课由于无教材、开发性的原因，教师个人的知识将被激活，师生互动产生知识的比重将大大增加，对教师原有的知识结构提出了严峻挑战，这样，教师培训的问题就急切地摆在了我们面前，我们的做法是：</w:t>
      </w:r>
    </w:p>
    <w:p w:rsidR="00103AEB" w:rsidRDefault="00103AEB" w:rsidP="00CF37C0">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首先“做中学”。不等、不靠、不依，时不宜迟，先做起来再学，教师行动起来，推动选修课的进程，也由于选修课工作的需要，推动教师的学习提高，有一些经验后组织到盐道中学、郫县一中考察学习，在这互动的过程中不断闪现选修课工作的创造性，难怪陶行知曾形象地说：“行动是老子，知识是儿子，创造中孙子”。</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其次，搞好校本培训，分管领导牵头，搞了系列讲座，资料阅读及三个层面学习的培训工作，这咱校本培训具有范围广、持续性强的特点。</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第三，启动激励培训</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．学校选修课建设需要有一定的教育资源</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这些资源主要包括人的资源、现代信息的资源、空间的资源、观念氛围的资源。</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103AEB" w:rsidRDefault="00103AEB" w:rsidP="00CF37C0">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103AEB" w:rsidRPr="0002010F" w:rsidRDefault="00103AEB" w:rsidP="00CF37C0">
      <w:pPr>
        <w:adjustRightInd w:val="0"/>
        <w:snapToGrid w:val="0"/>
        <w:spacing w:beforeLines="50" w:line="288" w:lineRule="auto"/>
        <w:rPr>
          <w:rFonts w:ascii="仿宋_GB2312" w:eastAsia="仿宋_GB2312"/>
          <w:b/>
          <w:bCs/>
          <w:sz w:val="28"/>
          <w:szCs w:val="28"/>
        </w:rPr>
      </w:pPr>
      <w:r>
        <w:rPr>
          <w:rFonts w:ascii="仿宋_GB2312" w:eastAsia="仿宋_GB2312"/>
          <w:sz w:val="28"/>
          <w:szCs w:val="28"/>
        </w:rPr>
        <w:t xml:space="preserve">                                        </w:t>
      </w:r>
      <w:r>
        <w:rPr>
          <w:rFonts w:ascii="仿宋_GB2312" w:eastAsia="仿宋_GB2312"/>
          <w:b/>
          <w:bCs/>
          <w:sz w:val="28"/>
          <w:szCs w:val="28"/>
        </w:rPr>
        <w:t xml:space="preserve">     </w:t>
      </w:r>
      <w:r w:rsidRPr="0002010F">
        <w:rPr>
          <w:rFonts w:ascii="仿宋_GB2312" w:eastAsia="仿宋_GB2312"/>
          <w:b/>
          <w:bCs/>
          <w:sz w:val="28"/>
          <w:szCs w:val="28"/>
        </w:rPr>
        <w:t xml:space="preserve">  </w:t>
      </w:r>
      <w:r w:rsidRPr="0002010F">
        <w:rPr>
          <w:rFonts w:ascii="仿宋_GB2312" w:eastAsia="仿宋_GB2312" w:hint="eastAsia"/>
          <w:b/>
          <w:bCs/>
          <w:sz w:val="28"/>
          <w:szCs w:val="28"/>
        </w:rPr>
        <w:t>莆田第一中学</w:t>
      </w:r>
      <w:r w:rsidRPr="0002010F">
        <w:rPr>
          <w:rFonts w:ascii="仿宋_GB2312" w:eastAsia="仿宋_GB2312"/>
          <w:b/>
          <w:bCs/>
          <w:sz w:val="28"/>
          <w:szCs w:val="28"/>
        </w:rPr>
        <w:t xml:space="preserve"> </w:t>
      </w:r>
    </w:p>
    <w:p w:rsidR="00103AEB" w:rsidRPr="0002010F" w:rsidRDefault="00103AEB" w:rsidP="0002010F">
      <w:pPr>
        <w:adjustRightInd w:val="0"/>
        <w:snapToGrid w:val="0"/>
        <w:spacing w:beforeLines="50" w:line="288" w:lineRule="auto"/>
        <w:jc w:val="center"/>
        <w:rPr>
          <w:b/>
          <w:sz w:val="28"/>
          <w:szCs w:val="28"/>
        </w:rPr>
      </w:pPr>
      <w:r w:rsidRPr="0002010F">
        <w:rPr>
          <w:b/>
        </w:rPr>
        <w:t xml:space="preserve">                                                      </w:t>
      </w:r>
      <w:r w:rsidRPr="0002010F">
        <w:rPr>
          <w:b/>
          <w:sz w:val="28"/>
          <w:szCs w:val="28"/>
        </w:rPr>
        <w:t xml:space="preserve">  2016</w:t>
      </w:r>
      <w:r w:rsidRPr="0002010F">
        <w:rPr>
          <w:rFonts w:hint="eastAsia"/>
          <w:b/>
          <w:sz w:val="28"/>
          <w:szCs w:val="28"/>
        </w:rPr>
        <w:t>年</w:t>
      </w:r>
      <w:r w:rsidRPr="0002010F">
        <w:rPr>
          <w:b/>
          <w:sz w:val="28"/>
          <w:szCs w:val="28"/>
        </w:rPr>
        <w:t>9</w:t>
      </w:r>
      <w:r w:rsidRPr="0002010F">
        <w:rPr>
          <w:rFonts w:hint="eastAsia"/>
          <w:b/>
          <w:sz w:val="28"/>
          <w:szCs w:val="28"/>
        </w:rPr>
        <w:t>月（修订）</w:t>
      </w:r>
      <w:r w:rsidRPr="0002010F">
        <w:rPr>
          <w:b/>
          <w:sz w:val="28"/>
          <w:szCs w:val="28"/>
        </w:rPr>
        <w:t xml:space="preserve"> </w:t>
      </w:r>
    </w:p>
    <w:sectPr w:rsidR="00103AEB" w:rsidRPr="0002010F" w:rsidSect="00901DE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EB" w:rsidRDefault="00103AEB" w:rsidP="00901DE7">
      <w:r>
        <w:separator/>
      </w:r>
    </w:p>
  </w:endnote>
  <w:endnote w:type="continuationSeparator" w:id="0">
    <w:p w:rsidR="00103AEB" w:rsidRDefault="00103AEB" w:rsidP="00901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EB" w:rsidRDefault="00103AEB" w:rsidP="00901DE7">
      <w:r>
        <w:separator/>
      </w:r>
    </w:p>
  </w:footnote>
  <w:footnote w:type="continuationSeparator" w:id="0">
    <w:p w:rsidR="00103AEB" w:rsidRDefault="00103AEB" w:rsidP="00901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DE7"/>
    <w:rsid w:val="0002010F"/>
    <w:rsid w:val="00103AEB"/>
    <w:rsid w:val="001B1291"/>
    <w:rsid w:val="003E1D91"/>
    <w:rsid w:val="004E4F01"/>
    <w:rsid w:val="005C2CF0"/>
    <w:rsid w:val="0068089F"/>
    <w:rsid w:val="006D28E5"/>
    <w:rsid w:val="008A616D"/>
    <w:rsid w:val="00901DE7"/>
    <w:rsid w:val="00971F03"/>
    <w:rsid w:val="00BB4E17"/>
    <w:rsid w:val="00C863D8"/>
    <w:rsid w:val="00CF37C0"/>
    <w:rsid w:val="00D1639F"/>
    <w:rsid w:val="00EB1C1A"/>
    <w:rsid w:val="00F05AE9"/>
    <w:rsid w:val="00F6332E"/>
    <w:rsid w:val="00F80F26"/>
    <w:rsid w:val="00FF71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E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01DE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901DE7"/>
    <w:rPr>
      <w:rFonts w:cs="Times New Roman"/>
      <w:sz w:val="18"/>
      <w:szCs w:val="18"/>
    </w:rPr>
  </w:style>
  <w:style w:type="paragraph" w:styleId="Footer">
    <w:name w:val="footer"/>
    <w:basedOn w:val="Normal"/>
    <w:link w:val="FooterChar"/>
    <w:uiPriority w:val="99"/>
    <w:semiHidden/>
    <w:rsid w:val="00901DE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901DE7"/>
    <w:rPr>
      <w:rFonts w:cs="Times New Roman"/>
      <w:sz w:val="18"/>
      <w:szCs w:val="18"/>
    </w:rPr>
  </w:style>
  <w:style w:type="table" w:styleId="TableGrid1">
    <w:name w:val="Table Grid 1"/>
    <w:basedOn w:val="TableNormal"/>
    <w:uiPriority w:val="99"/>
    <w:rsid w:val="00901DE7"/>
    <w:pPr>
      <w:widowControl w:val="0"/>
      <w:jc w:val="both"/>
    </w:pPr>
    <w:rPr>
      <w:rFonts w:ascii="Times New Roman" w:hAnsi="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Col">
      <w:rPr>
        <w:rFonts w:ascii="Times New Roman" w:hAnsi="Times New Roman"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one" w:sz="0" w:space="0" w:color="auto"/>
        </w:tcBorders>
      </w:tcPr>
    </w:tblStylePr>
  </w:style>
  <w:style w:type="table" w:styleId="TableGrid">
    <w:name w:val="Table Grid"/>
    <w:basedOn w:val="TableNormal"/>
    <w:uiPriority w:val="99"/>
    <w:rsid w:val="00901DE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2599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482</Words>
  <Characters>2754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cp:revision>
  <cp:lastPrinted>2017-12-28T13:55:00Z</cp:lastPrinted>
  <dcterms:created xsi:type="dcterms:W3CDTF">2017-12-28T13:31:00Z</dcterms:created>
  <dcterms:modified xsi:type="dcterms:W3CDTF">2017-12-28T15:11:00Z</dcterms:modified>
</cp:coreProperties>
</file>